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D33" w:rsidRDefault="00F43D33" w:rsidP="007B5277">
      <w:pPr>
        <w:spacing w:after="0"/>
        <w:ind w:left="144" w:right="922"/>
        <w:rPr>
          <w:rFonts w:ascii="Arial" w:hAnsi="Arial" w:cs="Arial"/>
          <w:b/>
          <w:sz w:val="32"/>
          <w:szCs w:val="32"/>
          <w:u w:val="single"/>
        </w:rPr>
      </w:pPr>
      <w:r w:rsidRPr="006B31DA">
        <w:rPr>
          <w:rFonts w:ascii="Arial" w:hAnsi="Arial" w:cs="Arial"/>
          <w:b/>
          <w:sz w:val="32"/>
          <w:szCs w:val="32"/>
          <w:u w:val="single"/>
        </w:rPr>
        <w:t>Section A:  Area Agency Planning and Priorities</w:t>
      </w:r>
    </w:p>
    <w:p w:rsidR="00F43D33" w:rsidRPr="00C2123D" w:rsidRDefault="00F43D33" w:rsidP="00F43D33">
      <w:pPr>
        <w:ind w:left="140" w:right="921"/>
        <w:rPr>
          <w:rFonts w:ascii="Arial" w:hAnsi="Arial" w:cs="Arial"/>
          <w:sz w:val="24"/>
          <w:szCs w:val="24"/>
        </w:rPr>
      </w:pPr>
      <w:bookmarkStart w:id="0" w:name="_GoBack"/>
      <w:bookmarkEnd w:id="0"/>
      <w:r w:rsidRPr="00C2123D">
        <w:rPr>
          <w:rFonts w:ascii="Arial" w:hAnsi="Arial" w:cs="Arial"/>
          <w:sz w:val="24"/>
          <w:szCs w:val="24"/>
        </w:rPr>
        <w:t xml:space="preserve">A. 1 - </w:t>
      </w:r>
      <w:r w:rsidR="006B31DA">
        <w:rPr>
          <w:rFonts w:ascii="Arial" w:hAnsi="Arial" w:cs="Arial"/>
          <w:sz w:val="24"/>
          <w:szCs w:val="24"/>
        </w:rPr>
        <w:t>INTRODUCTION</w:t>
      </w:r>
    </w:p>
    <w:p w:rsidR="00F43D33" w:rsidRPr="007B5277" w:rsidRDefault="00F43D33" w:rsidP="00F43D33">
      <w:pPr>
        <w:ind w:left="140" w:right="90"/>
        <w:jc w:val="both"/>
        <w:rPr>
          <w:rFonts w:ascii="Arial" w:hAnsi="Arial" w:cs="Arial"/>
          <w:sz w:val="24"/>
          <w:szCs w:val="24"/>
        </w:rPr>
      </w:pPr>
      <w:r w:rsidRPr="007B5277">
        <w:rPr>
          <w:rFonts w:ascii="Arial" w:hAnsi="Arial" w:cs="Arial"/>
          <w:sz w:val="24"/>
          <w:szCs w:val="24"/>
        </w:rPr>
        <w:t xml:space="preserve">Oregon Cascades West Council of Governments (OCWCOG) is designated by the Oregon Department of Human Services (ODHS) as the Area Agency on Aging (AAA) and Aging and Disability Resource Connection (ADRC) lead for Linn, Benton, and Lincoln Counties. </w:t>
      </w:r>
    </w:p>
    <w:p w:rsidR="00F43D33" w:rsidRPr="007B5277" w:rsidRDefault="00F43D33" w:rsidP="00F43D33">
      <w:pPr>
        <w:ind w:left="140" w:right="90"/>
        <w:jc w:val="both"/>
        <w:rPr>
          <w:rFonts w:ascii="Arial" w:hAnsi="Arial" w:cs="Arial"/>
          <w:sz w:val="24"/>
          <w:szCs w:val="24"/>
        </w:rPr>
      </w:pPr>
      <w:r w:rsidRPr="007B5277">
        <w:rPr>
          <w:rFonts w:ascii="Arial" w:hAnsi="Arial" w:cs="Arial"/>
          <w:sz w:val="24"/>
          <w:szCs w:val="24"/>
        </w:rPr>
        <w:t>OCWCOG is a voluntary intergovernmental entity which on behalf of its member governments, carries out a variety of local, State, and Federal Long Term Services and Support (LTSS) programs which help older adults, people with disabilities, veterans, and caregivers in our region. OCWCOG is led by a Board of Directors (BOD) which consists of local elected officials who represent the associated member governments.  The Senior Services Advisory Council (SSAC) and Disability Services Advisory Council (DSAC) consists of a representative from the OCWCOG Board and stakeholders from the community that advise and advocate regarding policies, quality of services, program delivery, budget, and spending. The Advisory Councils were inte</w:t>
      </w:r>
      <w:r w:rsidR="00D55342" w:rsidRPr="007B5277">
        <w:rPr>
          <w:rFonts w:ascii="Arial" w:hAnsi="Arial" w:cs="Arial"/>
          <w:sz w:val="24"/>
          <w:szCs w:val="24"/>
        </w:rPr>
        <w:t>gral in developing the 2021-2025</w:t>
      </w:r>
      <w:r w:rsidRPr="007B5277">
        <w:rPr>
          <w:rFonts w:ascii="Arial" w:hAnsi="Arial" w:cs="Arial"/>
          <w:sz w:val="24"/>
          <w:szCs w:val="24"/>
        </w:rPr>
        <w:t xml:space="preserve"> Area Plan and outlining the priorities the agency will work on over the next four years. </w:t>
      </w:r>
    </w:p>
    <w:p w:rsidR="00F43D33" w:rsidRPr="007B5277" w:rsidRDefault="00F43D33" w:rsidP="00C2123D">
      <w:pPr>
        <w:ind w:left="144" w:right="86"/>
        <w:jc w:val="both"/>
        <w:rPr>
          <w:rFonts w:ascii="Arial" w:hAnsi="Arial" w:cs="Arial"/>
          <w:sz w:val="24"/>
          <w:szCs w:val="24"/>
        </w:rPr>
      </w:pPr>
      <w:r w:rsidRPr="007B5277">
        <w:rPr>
          <w:rFonts w:ascii="Arial" w:hAnsi="Arial" w:cs="Arial"/>
          <w:sz w:val="24"/>
          <w:szCs w:val="24"/>
        </w:rPr>
        <w:t xml:space="preserve">OCWCOG houses three outward facing programs which serve seniors and people with disabilities: </w:t>
      </w:r>
    </w:p>
    <w:p w:rsidR="00F43D33" w:rsidRPr="007B5277" w:rsidRDefault="00F43D33" w:rsidP="00C2123D">
      <w:pPr>
        <w:ind w:left="144" w:right="86"/>
        <w:jc w:val="both"/>
        <w:rPr>
          <w:rFonts w:ascii="Arial" w:eastAsiaTheme="minorHAnsi" w:hAnsi="Arial" w:cs="Arial"/>
          <w:sz w:val="24"/>
          <w:szCs w:val="24"/>
        </w:rPr>
      </w:pPr>
      <w:r w:rsidRPr="007B5277">
        <w:rPr>
          <w:rFonts w:ascii="Arial" w:hAnsi="Arial" w:cs="Arial"/>
          <w:sz w:val="24"/>
          <w:szCs w:val="24"/>
        </w:rPr>
        <w:t xml:space="preserve">Senior and Disability Services (SDS) –issues and administers medical, prescription, nutrition, and cash benefits that are provided to Oregonians through the Medicaid program. Case managers coordinate the </w:t>
      </w:r>
      <w:r w:rsidRPr="007B5277">
        <w:rPr>
          <w:rFonts w:ascii="Arial" w:hAnsi="Arial" w:cs="Arial"/>
          <w:iCs/>
          <w:sz w:val="24"/>
          <w:szCs w:val="24"/>
        </w:rPr>
        <w:t>Long-Term Services and Supports</w:t>
      </w:r>
      <w:r w:rsidRPr="007B5277">
        <w:rPr>
          <w:rFonts w:ascii="Arial" w:hAnsi="Arial" w:cs="Arial"/>
          <w:sz w:val="24"/>
          <w:szCs w:val="24"/>
        </w:rPr>
        <w:t xml:space="preserve"> provided by Medicaid that people over 65 and adults with physical disabilities receive in their homes or care facilities. In addition, OCWCOG </w:t>
      </w:r>
      <w:r w:rsidRPr="007B5277">
        <w:rPr>
          <w:rFonts w:ascii="Arial" w:hAnsi="Arial" w:cs="Arial"/>
          <w:iCs/>
          <w:sz w:val="24"/>
          <w:szCs w:val="24"/>
        </w:rPr>
        <w:t>Adult Protective Services Specialists (APSS)</w:t>
      </w:r>
      <w:r w:rsidRPr="007B5277">
        <w:rPr>
          <w:rFonts w:ascii="Arial" w:hAnsi="Arial" w:cs="Arial"/>
          <w:sz w:val="24"/>
          <w:szCs w:val="24"/>
        </w:rPr>
        <w:t xml:space="preserve"> screen and investigate reports of abuse of people over 65 and adults with disabilities (18 to 64 years).  </w:t>
      </w:r>
    </w:p>
    <w:p w:rsidR="00C2123D" w:rsidRPr="007B5277" w:rsidRDefault="00F43D33" w:rsidP="00C2123D">
      <w:pPr>
        <w:pStyle w:val="BodyText"/>
        <w:tabs>
          <w:tab w:val="left" w:pos="12240"/>
        </w:tabs>
        <w:spacing w:after="160" w:line="247" w:lineRule="auto"/>
        <w:ind w:left="144" w:right="86"/>
        <w:jc w:val="both"/>
      </w:pPr>
      <w:r w:rsidRPr="007B5277">
        <w:t xml:space="preserve">Community Services </w:t>
      </w:r>
      <w:r w:rsidR="00975876" w:rsidRPr="007B5277">
        <w:t xml:space="preserve">Programs </w:t>
      </w:r>
      <w:r w:rsidRPr="007B5277">
        <w:t>(CSP) –facilitates the coordinated operation of programs serving older adults, individuals with long-term physical disabilities, and Veteran populations. CSP uses Older Americans Act (OAA), State general funds, and other non-Medicaid funds to assist residents and program participants to maintain their health, wellness, independence and dignity, and reduce social isolation by maintaining connection to the community. Several CSP programs offer a variety of volunteer and advocacy opportunities, and coordinate a number of community events throughout the Region.</w:t>
      </w:r>
    </w:p>
    <w:p w:rsidR="00C2123D" w:rsidRPr="007B5277" w:rsidRDefault="00F43D33" w:rsidP="00C2123D">
      <w:pPr>
        <w:pStyle w:val="BodyText"/>
        <w:spacing w:after="160" w:line="247" w:lineRule="auto"/>
        <w:ind w:left="144" w:right="86"/>
        <w:jc w:val="both"/>
      </w:pPr>
      <w:r w:rsidRPr="007B5277">
        <w:t xml:space="preserve">Community and Economic Development (CED) –engages in a variety of programs that support the Region and member communities to improve overall economic health, mobility, access, and resiliency. Cascades West RideLine, which is housed in CED, coordinates Non Emergent Medical Transportation (NEMT) services, providing much needed </w:t>
      </w:r>
      <w:r w:rsidRPr="007B5277">
        <w:lastRenderedPageBreak/>
        <w:t>transportation options for Medicaid consumers including older adults and people with</w:t>
      </w:r>
      <w:r w:rsidR="00C2123D" w:rsidRPr="007B5277">
        <w:t xml:space="preserve"> disabilities. </w:t>
      </w:r>
    </w:p>
    <w:p w:rsidR="00F43D33" w:rsidRPr="007B5277" w:rsidRDefault="00F43D33" w:rsidP="00F43D33">
      <w:pPr>
        <w:ind w:left="140" w:right="90"/>
        <w:jc w:val="both"/>
        <w:rPr>
          <w:rFonts w:ascii="Arial" w:hAnsi="Arial" w:cs="Arial"/>
          <w:sz w:val="24"/>
          <w:szCs w:val="24"/>
        </w:rPr>
      </w:pPr>
      <w:r w:rsidRPr="007B5277">
        <w:rPr>
          <w:rFonts w:ascii="Arial" w:hAnsi="Arial" w:cs="Arial"/>
          <w:sz w:val="24"/>
          <w:szCs w:val="24"/>
        </w:rPr>
        <w:t>In order to ensure that OCWCOG meets the needs of the entire region effectively, OCWCOG has three offices, one in Linn, Benton, and Lincoln Counties. All offices provide full access for persons with disabilities.</w:t>
      </w:r>
    </w:p>
    <w:p w:rsidR="00F43D33" w:rsidRPr="007B5277" w:rsidRDefault="00F43D33" w:rsidP="00F43D33">
      <w:pPr>
        <w:spacing w:after="0" w:line="240" w:lineRule="auto"/>
        <w:ind w:left="140" w:right="90"/>
        <w:rPr>
          <w:rFonts w:ascii="Arial" w:hAnsi="Arial" w:cs="Arial"/>
          <w:sz w:val="24"/>
          <w:szCs w:val="24"/>
        </w:rPr>
      </w:pPr>
    </w:p>
    <w:p w:rsidR="00F43D33" w:rsidRPr="007B5277" w:rsidRDefault="00F43D33" w:rsidP="00F43D33">
      <w:pPr>
        <w:spacing w:after="0" w:line="240" w:lineRule="auto"/>
        <w:ind w:left="129" w:right="828"/>
        <w:rPr>
          <w:b/>
          <w:sz w:val="24"/>
          <w:szCs w:val="24"/>
        </w:rPr>
      </w:pPr>
    </w:p>
    <w:p w:rsidR="00F43D33" w:rsidRPr="007B5277" w:rsidRDefault="00F43D33" w:rsidP="00F43D33">
      <w:pPr>
        <w:spacing w:after="0" w:line="240" w:lineRule="auto"/>
        <w:ind w:left="129" w:right="828"/>
        <w:rPr>
          <w:rFonts w:ascii="Arial" w:hAnsi="Arial" w:cs="Arial"/>
          <w:b/>
          <w:sz w:val="24"/>
          <w:szCs w:val="24"/>
        </w:rPr>
      </w:pPr>
      <w:r w:rsidRPr="007B5277">
        <w:rPr>
          <w:rFonts w:ascii="Arial" w:hAnsi="Arial" w:cs="Arial"/>
          <w:b/>
          <w:sz w:val="24"/>
          <w:szCs w:val="24"/>
        </w:rPr>
        <w:t>Linn County</w:t>
      </w:r>
    </w:p>
    <w:p w:rsidR="00F43D33" w:rsidRPr="007B5277" w:rsidRDefault="00C45EBD" w:rsidP="00F43D33">
      <w:pPr>
        <w:spacing w:after="0" w:line="240" w:lineRule="auto"/>
        <w:ind w:left="128" w:right="828"/>
        <w:rPr>
          <w:rFonts w:ascii="Arial" w:hAnsi="Arial" w:cs="Arial"/>
          <w:sz w:val="24"/>
          <w:szCs w:val="24"/>
        </w:rPr>
      </w:pPr>
      <w:r w:rsidRPr="007B5277">
        <w:rPr>
          <w:rFonts w:ascii="Arial" w:hAnsi="Arial" w:cs="Arial"/>
          <w:b/>
          <w:noProof/>
          <w:sz w:val="24"/>
          <w:szCs w:val="24"/>
        </w:rPr>
        <mc:AlternateContent>
          <mc:Choice Requires="wps">
            <w:drawing>
              <wp:anchor distT="0" distB="0" distL="114300" distR="114300" simplePos="0" relativeHeight="251659264" behindDoc="0" locked="0" layoutInCell="1" allowOverlap="1" wp14:anchorId="7C8605CA" wp14:editId="3C99238C">
                <wp:simplePos x="0" y="0"/>
                <wp:positionH relativeFrom="margin">
                  <wp:posOffset>4667250</wp:posOffset>
                </wp:positionH>
                <wp:positionV relativeFrom="paragraph">
                  <wp:posOffset>149225</wp:posOffset>
                </wp:positionV>
                <wp:extent cx="2867025" cy="3124200"/>
                <wp:effectExtent l="0" t="0" r="9525" b="0"/>
                <wp:wrapNone/>
                <wp:docPr id="1" name="Text Box 1"/>
                <wp:cNvGraphicFramePr/>
                <a:graphic xmlns:a="http://schemas.openxmlformats.org/drawingml/2006/main">
                  <a:graphicData uri="http://schemas.microsoft.com/office/word/2010/wordprocessingShape">
                    <wps:wsp>
                      <wps:cNvSpPr txBox="1"/>
                      <wps:spPr>
                        <a:xfrm>
                          <a:off x="0" y="0"/>
                          <a:ext cx="2867025" cy="31242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43D33" w:rsidRPr="00F43D33" w:rsidRDefault="00F43D33" w:rsidP="00C2123D">
                            <w:pPr>
                              <w:pBdr>
                                <w:top w:val="single" w:sz="12" w:space="1" w:color="1F4E79" w:themeColor="accent1" w:themeShade="80"/>
                                <w:left w:val="single" w:sz="12" w:space="4" w:color="1F4E79" w:themeColor="accent1" w:themeShade="80"/>
                                <w:bottom w:val="single" w:sz="12" w:space="1" w:color="1F4E79" w:themeColor="accent1" w:themeShade="80"/>
                                <w:right w:val="single" w:sz="12" w:space="1" w:color="1F4E79" w:themeColor="accent1" w:themeShade="80"/>
                              </w:pBdr>
                              <w:spacing w:before="76" w:line="276" w:lineRule="auto"/>
                              <w:ind w:left="140" w:right="-162"/>
                              <w:jc w:val="both"/>
                              <w:rPr>
                                <w:rFonts w:ascii="Arial" w:hAnsi="Arial" w:cs="Arial"/>
                                <w:sz w:val="24"/>
                              </w:rPr>
                            </w:pPr>
                            <w:r w:rsidRPr="00F43D33">
                              <w:rPr>
                                <w:rFonts w:ascii="Arial" w:hAnsi="Arial" w:cs="Arial"/>
                                <w:sz w:val="24"/>
                                <w:szCs w:val="24"/>
                              </w:rPr>
                              <w:t>Our offices provide information and/or services to all adults aged 60 and older, and people with disabilities under the age of 65. Consumers and potential consumers</w:t>
                            </w:r>
                            <w:r w:rsidR="00975876">
                              <w:rPr>
                                <w:rFonts w:ascii="Arial" w:hAnsi="Arial" w:cs="Arial"/>
                                <w:sz w:val="24"/>
                                <w:szCs w:val="24"/>
                              </w:rPr>
                              <w:t>,</w:t>
                            </w:r>
                            <w:r w:rsidRPr="00F43D33">
                              <w:rPr>
                                <w:rFonts w:ascii="Arial" w:hAnsi="Arial" w:cs="Arial"/>
                                <w:sz w:val="24"/>
                                <w:szCs w:val="24"/>
                              </w:rPr>
                              <w:t xml:space="preserve"> can access all of the information and resources via a phone call to the Aging and Disability Resource Connection</w:t>
                            </w:r>
                            <w:r w:rsidRPr="00F43D33">
                              <w:rPr>
                                <w:rFonts w:ascii="Arial" w:hAnsi="Arial" w:cs="Arial"/>
                                <w:sz w:val="24"/>
                              </w:rPr>
                              <w:t xml:space="preserve"> (ADRC), which serves as the front door for resources in the </w:t>
                            </w:r>
                            <w:r w:rsidR="00975876">
                              <w:rPr>
                                <w:rFonts w:ascii="Arial" w:hAnsi="Arial" w:cs="Arial"/>
                                <w:sz w:val="24"/>
                              </w:rPr>
                              <w:t>R</w:t>
                            </w:r>
                            <w:r w:rsidRPr="00F43D33">
                              <w:rPr>
                                <w:rFonts w:ascii="Arial" w:hAnsi="Arial" w:cs="Arial"/>
                                <w:sz w:val="24"/>
                              </w:rPr>
                              <w:t xml:space="preserve">egion. </w:t>
                            </w:r>
                          </w:p>
                          <w:p w:rsidR="00F43D33" w:rsidRPr="00F43D33" w:rsidRDefault="00975876" w:rsidP="00C2123D">
                            <w:pPr>
                              <w:pBdr>
                                <w:top w:val="single" w:sz="12" w:space="1" w:color="1F4E79" w:themeColor="accent1" w:themeShade="80"/>
                                <w:left w:val="single" w:sz="12" w:space="4" w:color="1F4E79" w:themeColor="accent1" w:themeShade="80"/>
                                <w:bottom w:val="single" w:sz="12" w:space="1" w:color="1F4E79" w:themeColor="accent1" w:themeShade="80"/>
                                <w:right w:val="single" w:sz="12" w:space="1" w:color="1F4E79" w:themeColor="accent1" w:themeShade="80"/>
                              </w:pBdr>
                              <w:spacing w:before="76" w:line="276" w:lineRule="auto"/>
                              <w:ind w:left="140" w:right="-162"/>
                              <w:jc w:val="both"/>
                              <w:rPr>
                                <w:rFonts w:ascii="Arial" w:hAnsi="Arial" w:cs="Arial"/>
                                <w:sz w:val="24"/>
                              </w:rPr>
                            </w:pPr>
                            <w:r>
                              <w:rPr>
                                <w:rFonts w:ascii="Arial" w:hAnsi="Arial" w:cs="Arial"/>
                                <w:sz w:val="24"/>
                              </w:rPr>
                              <w:t>To</w:t>
                            </w:r>
                            <w:r w:rsidR="00F43D33" w:rsidRPr="00F43D33">
                              <w:rPr>
                                <w:rFonts w:ascii="Arial" w:hAnsi="Arial" w:cs="Arial"/>
                                <w:sz w:val="24"/>
                              </w:rPr>
                              <w:t xml:space="preserve"> reach the ADRC </w:t>
                            </w:r>
                            <w:r>
                              <w:rPr>
                                <w:rFonts w:ascii="Arial" w:hAnsi="Arial" w:cs="Arial"/>
                                <w:sz w:val="24"/>
                              </w:rPr>
                              <w:t xml:space="preserve">call </w:t>
                            </w:r>
                            <w:r w:rsidR="00F43D33" w:rsidRPr="00F43D33">
                              <w:rPr>
                                <w:rFonts w:ascii="Arial" w:hAnsi="Arial" w:cs="Arial"/>
                                <w:sz w:val="24"/>
                              </w:rPr>
                              <w:t>541-967-8630 (for Benton and Linn Counties) and 541-336-2289 (for Lincoln County).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8605CA" id="_x0000_t202" coordsize="21600,21600" o:spt="202" path="m,l,21600r21600,l21600,xe">
                <v:stroke joinstyle="miter"/>
                <v:path gradientshapeok="t" o:connecttype="rect"/>
              </v:shapetype>
              <v:shape id="Text Box 1" o:spid="_x0000_s1026" type="#_x0000_t202" style="position:absolute;left:0;text-align:left;margin-left:367.5pt;margin-top:11.75pt;width:225.75pt;height:24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vNligIAAIsFAAAOAAAAZHJzL2Uyb0RvYy54bWysVEtv2zAMvg/YfxB0X52k6WNBnSJr0WFA&#10;0RZLh54VWWqEyaImKbGzX19Sdh7reumwi02JH0nx4+Pisq0tW6sQDbiSD48GnCknoTLuueQ/Hm8+&#10;nXMWk3CVsOBUyTcq8svpxw8XjZ+oESzBViowdOLipPElX6bkJ0UR5VLVIh6BVw6VGkItEh7Dc1EF&#10;0aD32hajweC0aCBUPoBUMeLtdafk0+xfayXTvdZRJWZLjm9L+Rvyd0HfYnohJs9B+KWR/TPEP7yi&#10;FsZh0J2ra5EEWwXzl6vayAARdDqSUBegtZEq54DZDAevspkvhVc5FyQn+h1N8f+5lXfrh8BMhbXj&#10;zIkaS/So2sS+QMuGxE7j4wRBc4+w1OI1Ifv7iJeUdKtDTX9Mh6Eeed7suCVnEi9H56dng9EJZxJ1&#10;x8PRGKtHfoq9uQ8xfVVQMxJKHrB4mVOxvo2pg24hFC2CNdWNsTYfqGHUlQ1sLbDUNuVHovM/UNax&#10;puSnxyeD7NgBmXeerSM3KrdMH45S71LMUtpYRRjrviuNlOVM34gtpFRuFz+jCaUx1HsMe/z+Ve8x&#10;7vJAixwZXNoZ18ZByNnnGdtTVv3cUqY7PNbmIG8SU7to+9IvoNpgRwToJip6eWOwarcipgcRcISw&#10;CXAtpHv8aAvIOvQSZ0sIv9+6Jzx2Nmo5a3AkSx5/rURQnNlvDnv+83A8phnOh/HJ2QgP4VCzONS4&#10;VX0F2ArY1/i6LBI+2a2oA9RPuD1mFBVVwkmMXfK0Fa9Styhw+0g1m2UQTq0X6dbNvSTXRC/15GP7&#10;JILvGzdhz9/BdnjF5FX/dliydDBbJdAmNzcR3LHaE48Tn8ej3060Ug7PGbXfodMXAAAA//8DAFBL&#10;AwQUAAYACAAAACEAMwLL2+IAAAALAQAADwAAAGRycy9kb3ducmV2LnhtbEyPS0/DMBCE70j8B2uR&#10;uCDqtJHbKmRTIcRD4kbDQ9zceEki4nUUu0n497gnuM1qRrPf5LvZdmKkwbeOEZaLBARx5UzLNcJr&#10;+XC9BeGDZqM7x4TwQx52xflZrjPjJn6hcR9qEUvYZxqhCaHPpPRVQ1b7heuJo/flBqtDPIdamkFP&#10;sdx2cpUka2l1y/FDo3u6a6j63h8twudV/fHs58e3KVVpf/80lpt3UyJeXsy3NyACzeEvDCf8iA5F&#10;ZDq4IxsvOoRNquKWgLBKFYhTYLldR3VAUEulQBa5/L+h+AUAAP//AwBQSwECLQAUAAYACAAAACEA&#10;toM4kv4AAADhAQAAEwAAAAAAAAAAAAAAAAAAAAAAW0NvbnRlbnRfVHlwZXNdLnhtbFBLAQItABQA&#10;BgAIAAAAIQA4/SH/1gAAAJQBAAALAAAAAAAAAAAAAAAAAC8BAABfcmVscy8ucmVsc1BLAQItABQA&#10;BgAIAAAAIQAGzvNligIAAIsFAAAOAAAAAAAAAAAAAAAAAC4CAABkcnMvZTJvRG9jLnhtbFBLAQIt&#10;ABQABgAIAAAAIQAzAsvb4gAAAAsBAAAPAAAAAAAAAAAAAAAAAOQEAABkcnMvZG93bnJldi54bWxQ&#10;SwUGAAAAAAQABADzAAAA8wUAAAAA&#10;" fillcolor="white [3201]" stroked="f" strokeweight=".5pt">
                <v:textbox>
                  <w:txbxContent>
                    <w:p w:rsidR="00F43D33" w:rsidRPr="00F43D33" w:rsidRDefault="00F43D33" w:rsidP="00C2123D">
                      <w:pPr>
                        <w:pBdr>
                          <w:top w:val="single" w:sz="12" w:space="1" w:color="1F4E79" w:themeColor="accent1" w:themeShade="80"/>
                          <w:left w:val="single" w:sz="12" w:space="4" w:color="1F4E79" w:themeColor="accent1" w:themeShade="80"/>
                          <w:bottom w:val="single" w:sz="12" w:space="1" w:color="1F4E79" w:themeColor="accent1" w:themeShade="80"/>
                          <w:right w:val="single" w:sz="12" w:space="1" w:color="1F4E79" w:themeColor="accent1" w:themeShade="80"/>
                        </w:pBdr>
                        <w:spacing w:before="76" w:line="276" w:lineRule="auto"/>
                        <w:ind w:left="140" w:right="-162"/>
                        <w:jc w:val="both"/>
                        <w:rPr>
                          <w:rFonts w:ascii="Arial" w:hAnsi="Arial" w:cs="Arial"/>
                          <w:sz w:val="24"/>
                        </w:rPr>
                      </w:pPr>
                      <w:r w:rsidRPr="00F43D33">
                        <w:rPr>
                          <w:rFonts w:ascii="Arial" w:hAnsi="Arial" w:cs="Arial"/>
                          <w:sz w:val="24"/>
                          <w:szCs w:val="24"/>
                        </w:rPr>
                        <w:t>Our offices provide information and/or services to all adults aged 60 and older, and people with disabilities under the age of 65. Consumers and potential consumers</w:t>
                      </w:r>
                      <w:r w:rsidR="00975876">
                        <w:rPr>
                          <w:rFonts w:ascii="Arial" w:hAnsi="Arial" w:cs="Arial"/>
                          <w:sz w:val="24"/>
                          <w:szCs w:val="24"/>
                        </w:rPr>
                        <w:t>,</w:t>
                      </w:r>
                      <w:r w:rsidRPr="00F43D33">
                        <w:rPr>
                          <w:rFonts w:ascii="Arial" w:hAnsi="Arial" w:cs="Arial"/>
                          <w:sz w:val="24"/>
                          <w:szCs w:val="24"/>
                        </w:rPr>
                        <w:t xml:space="preserve"> can access all of the information and resources via a phone call to the Aging and Disability Resource Connection</w:t>
                      </w:r>
                      <w:r w:rsidRPr="00F43D33">
                        <w:rPr>
                          <w:rFonts w:ascii="Arial" w:hAnsi="Arial" w:cs="Arial"/>
                          <w:sz w:val="24"/>
                        </w:rPr>
                        <w:t xml:space="preserve"> (ADRC), which serves as the front door for resources in the </w:t>
                      </w:r>
                      <w:r w:rsidR="00975876">
                        <w:rPr>
                          <w:rFonts w:ascii="Arial" w:hAnsi="Arial" w:cs="Arial"/>
                          <w:sz w:val="24"/>
                        </w:rPr>
                        <w:t>R</w:t>
                      </w:r>
                      <w:r w:rsidRPr="00F43D33">
                        <w:rPr>
                          <w:rFonts w:ascii="Arial" w:hAnsi="Arial" w:cs="Arial"/>
                          <w:sz w:val="24"/>
                        </w:rPr>
                        <w:t xml:space="preserve">egion. </w:t>
                      </w:r>
                    </w:p>
                    <w:p w:rsidR="00F43D33" w:rsidRPr="00F43D33" w:rsidRDefault="00975876" w:rsidP="00C2123D">
                      <w:pPr>
                        <w:pBdr>
                          <w:top w:val="single" w:sz="12" w:space="1" w:color="1F4E79" w:themeColor="accent1" w:themeShade="80"/>
                          <w:left w:val="single" w:sz="12" w:space="4" w:color="1F4E79" w:themeColor="accent1" w:themeShade="80"/>
                          <w:bottom w:val="single" w:sz="12" w:space="1" w:color="1F4E79" w:themeColor="accent1" w:themeShade="80"/>
                          <w:right w:val="single" w:sz="12" w:space="1" w:color="1F4E79" w:themeColor="accent1" w:themeShade="80"/>
                        </w:pBdr>
                        <w:spacing w:before="76" w:line="276" w:lineRule="auto"/>
                        <w:ind w:left="140" w:right="-162"/>
                        <w:jc w:val="both"/>
                        <w:rPr>
                          <w:rFonts w:ascii="Arial" w:hAnsi="Arial" w:cs="Arial"/>
                          <w:sz w:val="24"/>
                        </w:rPr>
                      </w:pPr>
                      <w:r>
                        <w:rPr>
                          <w:rFonts w:ascii="Arial" w:hAnsi="Arial" w:cs="Arial"/>
                          <w:sz w:val="24"/>
                        </w:rPr>
                        <w:t>To</w:t>
                      </w:r>
                      <w:r w:rsidR="00F43D33" w:rsidRPr="00F43D33">
                        <w:rPr>
                          <w:rFonts w:ascii="Arial" w:hAnsi="Arial" w:cs="Arial"/>
                          <w:sz w:val="24"/>
                        </w:rPr>
                        <w:t xml:space="preserve"> reach the ADRC </w:t>
                      </w:r>
                      <w:r>
                        <w:rPr>
                          <w:rFonts w:ascii="Arial" w:hAnsi="Arial" w:cs="Arial"/>
                          <w:sz w:val="24"/>
                        </w:rPr>
                        <w:t xml:space="preserve">call </w:t>
                      </w:r>
                      <w:r w:rsidR="00F43D33" w:rsidRPr="00F43D33">
                        <w:rPr>
                          <w:rFonts w:ascii="Arial" w:hAnsi="Arial" w:cs="Arial"/>
                          <w:sz w:val="24"/>
                        </w:rPr>
                        <w:t>541-967-8630 (for Benton and Linn Counties) and 541-336-2289 (for Lincoln County).</w:t>
                      </w:r>
                    </w:p>
                  </w:txbxContent>
                </v:textbox>
                <w10:wrap anchorx="margin"/>
              </v:shape>
            </w:pict>
          </mc:Fallback>
        </mc:AlternateContent>
      </w:r>
      <w:r w:rsidR="00F43D33" w:rsidRPr="007B5277">
        <w:rPr>
          <w:rFonts w:ascii="Arial" w:hAnsi="Arial" w:cs="Arial"/>
          <w:sz w:val="24"/>
          <w:szCs w:val="24"/>
        </w:rPr>
        <w:t>1400 Queen Avenue SE, Suite 206</w:t>
      </w:r>
    </w:p>
    <w:p w:rsidR="00F43D33" w:rsidRPr="007B5277" w:rsidRDefault="00F43D33" w:rsidP="00F43D33">
      <w:pPr>
        <w:spacing w:after="0" w:line="240" w:lineRule="auto"/>
        <w:ind w:left="130" w:right="828"/>
        <w:rPr>
          <w:rFonts w:ascii="Arial" w:hAnsi="Arial" w:cs="Arial"/>
          <w:sz w:val="24"/>
          <w:szCs w:val="24"/>
        </w:rPr>
      </w:pPr>
      <w:r w:rsidRPr="007B5277">
        <w:rPr>
          <w:rFonts w:ascii="Arial" w:hAnsi="Arial" w:cs="Arial"/>
          <w:sz w:val="24"/>
          <w:szCs w:val="24"/>
        </w:rPr>
        <w:t>Albany, OR 97322</w:t>
      </w:r>
    </w:p>
    <w:p w:rsidR="00F43D33" w:rsidRPr="007B5277" w:rsidRDefault="00F43D33" w:rsidP="00F43D33">
      <w:pPr>
        <w:spacing w:after="0" w:line="240" w:lineRule="auto"/>
        <w:ind w:left="133" w:right="828"/>
        <w:rPr>
          <w:rFonts w:ascii="Arial" w:hAnsi="Arial" w:cs="Arial"/>
          <w:sz w:val="24"/>
          <w:szCs w:val="24"/>
        </w:rPr>
      </w:pPr>
      <w:r w:rsidRPr="007B5277">
        <w:rPr>
          <w:rFonts w:ascii="Arial" w:hAnsi="Arial" w:cs="Arial"/>
          <w:sz w:val="24"/>
          <w:szCs w:val="24"/>
        </w:rPr>
        <w:t>541-967-8630 Voice and ADRC</w:t>
      </w:r>
    </w:p>
    <w:p w:rsidR="00F43D33" w:rsidRPr="007B5277" w:rsidRDefault="00F43D33" w:rsidP="00F43D33">
      <w:pPr>
        <w:spacing w:after="0" w:line="240" w:lineRule="auto"/>
        <w:ind w:left="131" w:right="828"/>
        <w:rPr>
          <w:rFonts w:ascii="Arial" w:hAnsi="Arial" w:cs="Arial"/>
          <w:sz w:val="24"/>
          <w:szCs w:val="24"/>
        </w:rPr>
      </w:pPr>
      <w:r w:rsidRPr="007B5277">
        <w:rPr>
          <w:rFonts w:ascii="Arial" w:hAnsi="Arial" w:cs="Arial"/>
          <w:sz w:val="24"/>
          <w:szCs w:val="24"/>
        </w:rPr>
        <w:t>800-638-0510 Toll free</w:t>
      </w:r>
    </w:p>
    <w:p w:rsidR="00F43D33" w:rsidRPr="007B5277" w:rsidRDefault="00F43D33" w:rsidP="00F43D33">
      <w:pPr>
        <w:spacing w:after="0" w:line="240" w:lineRule="auto"/>
        <w:ind w:left="133" w:right="828"/>
        <w:rPr>
          <w:rFonts w:ascii="Arial" w:hAnsi="Arial" w:cs="Arial"/>
          <w:sz w:val="24"/>
          <w:szCs w:val="24"/>
        </w:rPr>
      </w:pPr>
      <w:r w:rsidRPr="007B5277">
        <w:rPr>
          <w:rFonts w:ascii="Arial" w:hAnsi="Arial" w:cs="Arial"/>
          <w:sz w:val="24"/>
          <w:szCs w:val="24"/>
        </w:rPr>
        <w:t>541-924-8402</w:t>
      </w:r>
      <w:r w:rsidRPr="007B5277">
        <w:rPr>
          <w:rFonts w:ascii="Arial" w:hAnsi="Arial" w:cs="Arial"/>
          <w:spacing w:val="-7"/>
          <w:sz w:val="24"/>
          <w:szCs w:val="24"/>
        </w:rPr>
        <w:t xml:space="preserve"> </w:t>
      </w:r>
      <w:r w:rsidRPr="007B5277">
        <w:rPr>
          <w:rFonts w:ascii="Arial" w:hAnsi="Arial" w:cs="Arial"/>
          <w:sz w:val="24"/>
          <w:szCs w:val="24"/>
        </w:rPr>
        <w:t>TTY</w:t>
      </w:r>
    </w:p>
    <w:p w:rsidR="00F43D33" w:rsidRPr="007B5277" w:rsidRDefault="00F43D33" w:rsidP="00F43D33">
      <w:pPr>
        <w:spacing w:after="0" w:line="240" w:lineRule="auto"/>
        <w:ind w:left="132" w:right="828"/>
        <w:rPr>
          <w:rFonts w:ascii="Arial" w:hAnsi="Arial" w:cs="Arial"/>
          <w:sz w:val="24"/>
          <w:szCs w:val="24"/>
        </w:rPr>
      </w:pPr>
      <w:r w:rsidRPr="007B5277">
        <w:rPr>
          <w:rFonts w:ascii="Arial" w:hAnsi="Arial" w:cs="Arial"/>
          <w:sz w:val="24"/>
          <w:szCs w:val="24"/>
        </w:rPr>
        <w:t>541-812-2581</w:t>
      </w:r>
      <w:r w:rsidRPr="007B5277">
        <w:rPr>
          <w:rFonts w:ascii="Arial" w:hAnsi="Arial" w:cs="Arial"/>
          <w:spacing w:val="-9"/>
          <w:sz w:val="24"/>
          <w:szCs w:val="24"/>
        </w:rPr>
        <w:t xml:space="preserve"> </w:t>
      </w:r>
      <w:r w:rsidRPr="007B5277">
        <w:rPr>
          <w:rFonts w:ascii="Arial" w:hAnsi="Arial" w:cs="Arial"/>
          <w:sz w:val="24"/>
          <w:szCs w:val="24"/>
        </w:rPr>
        <w:t>Fax</w:t>
      </w:r>
    </w:p>
    <w:p w:rsidR="00F43D33" w:rsidRPr="007B5277" w:rsidRDefault="00F43D33" w:rsidP="00F43D33">
      <w:pPr>
        <w:spacing w:after="0" w:line="240" w:lineRule="auto"/>
        <w:rPr>
          <w:rFonts w:ascii="Arial" w:hAnsi="Arial" w:cs="Arial"/>
          <w:sz w:val="24"/>
          <w:szCs w:val="24"/>
        </w:rPr>
      </w:pPr>
    </w:p>
    <w:p w:rsidR="00F43D33" w:rsidRPr="007B5277" w:rsidRDefault="00F43D33" w:rsidP="00F43D33">
      <w:pPr>
        <w:spacing w:after="0" w:line="240" w:lineRule="auto"/>
        <w:ind w:left="125" w:right="828"/>
        <w:rPr>
          <w:rFonts w:ascii="Arial" w:hAnsi="Arial" w:cs="Arial"/>
          <w:b/>
          <w:sz w:val="24"/>
          <w:szCs w:val="24"/>
        </w:rPr>
      </w:pPr>
      <w:r w:rsidRPr="007B5277">
        <w:rPr>
          <w:rFonts w:ascii="Arial" w:hAnsi="Arial" w:cs="Arial"/>
          <w:b/>
          <w:sz w:val="24"/>
          <w:szCs w:val="24"/>
        </w:rPr>
        <w:t>Benton County</w:t>
      </w:r>
    </w:p>
    <w:p w:rsidR="00F43D33" w:rsidRPr="007B5277" w:rsidRDefault="00F43D33" w:rsidP="00F43D33">
      <w:pPr>
        <w:spacing w:before="1" w:after="0" w:line="240" w:lineRule="auto"/>
        <w:ind w:left="2250" w:right="2510" w:hanging="2160"/>
        <w:rPr>
          <w:rFonts w:ascii="Arial" w:hAnsi="Arial" w:cs="Arial"/>
          <w:sz w:val="24"/>
          <w:szCs w:val="24"/>
        </w:rPr>
      </w:pPr>
      <w:r w:rsidRPr="007B5277">
        <w:rPr>
          <w:rFonts w:ascii="Arial" w:hAnsi="Arial" w:cs="Arial"/>
          <w:sz w:val="24"/>
          <w:szCs w:val="24"/>
        </w:rPr>
        <w:t>777 NW 9</w:t>
      </w:r>
      <w:r w:rsidRPr="007B5277">
        <w:rPr>
          <w:rFonts w:ascii="Arial" w:hAnsi="Arial" w:cs="Arial"/>
          <w:sz w:val="24"/>
          <w:szCs w:val="24"/>
          <w:vertAlign w:val="superscript"/>
        </w:rPr>
        <w:t>th</w:t>
      </w:r>
      <w:r w:rsidRPr="007B5277">
        <w:rPr>
          <w:rFonts w:ascii="Arial" w:hAnsi="Arial" w:cs="Arial"/>
          <w:sz w:val="24"/>
          <w:szCs w:val="24"/>
        </w:rPr>
        <w:t xml:space="preserve"> Street, Suite 202 C </w:t>
      </w:r>
    </w:p>
    <w:p w:rsidR="00F43D33" w:rsidRPr="007B5277" w:rsidRDefault="00F43D33" w:rsidP="00F43D33">
      <w:pPr>
        <w:spacing w:before="1" w:after="0" w:line="240" w:lineRule="auto"/>
        <w:ind w:left="2250" w:right="2510" w:hanging="2160"/>
        <w:rPr>
          <w:rFonts w:ascii="Arial" w:hAnsi="Arial" w:cs="Arial"/>
          <w:sz w:val="24"/>
          <w:szCs w:val="24"/>
        </w:rPr>
      </w:pPr>
      <w:r w:rsidRPr="007B5277">
        <w:rPr>
          <w:rFonts w:ascii="Arial" w:hAnsi="Arial" w:cs="Arial"/>
          <w:sz w:val="24"/>
          <w:szCs w:val="24"/>
        </w:rPr>
        <w:t>Corvallis, OR</w:t>
      </w:r>
      <w:r w:rsidRPr="007B5277">
        <w:rPr>
          <w:rFonts w:ascii="Arial" w:hAnsi="Arial" w:cs="Arial"/>
          <w:spacing w:val="-5"/>
          <w:sz w:val="24"/>
          <w:szCs w:val="24"/>
        </w:rPr>
        <w:t xml:space="preserve"> </w:t>
      </w:r>
      <w:r w:rsidRPr="007B5277">
        <w:rPr>
          <w:rFonts w:ascii="Arial" w:hAnsi="Arial" w:cs="Arial"/>
          <w:sz w:val="24"/>
          <w:szCs w:val="24"/>
        </w:rPr>
        <w:t>97330</w:t>
      </w:r>
    </w:p>
    <w:p w:rsidR="00F43D33" w:rsidRPr="007B5277" w:rsidRDefault="00F43D33" w:rsidP="00F43D33">
      <w:pPr>
        <w:spacing w:after="0" w:line="240" w:lineRule="auto"/>
        <w:ind w:right="30"/>
        <w:rPr>
          <w:rFonts w:ascii="Arial" w:hAnsi="Arial" w:cs="Arial"/>
          <w:sz w:val="24"/>
          <w:szCs w:val="24"/>
        </w:rPr>
      </w:pPr>
      <w:r w:rsidRPr="007B5277">
        <w:rPr>
          <w:rFonts w:ascii="Arial" w:hAnsi="Arial" w:cs="Arial"/>
          <w:sz w:val="24"/>
          <w:szCs w:val="24"/>
        </w:rPr>
        <w:t xml:space="preserve">  541-758-1595</w:t>
      </w:r>
      <w:r w:rsidRPr="007B5277">
        <w:rPr>
          <w:rFonts w:ascii="Arial" w:hAnsi="Arial" w:cs="Arial"/>
          <w:spacing w:val="-8"/>
          <w:sz w:val="24"/>
          <w:szCs w:val="24"/>
        </w:rPr>
        <w:t xml:space="preserve"> </w:t>
      </w:r>
      <w:r w:rsidRPr="007B5277">
        <w:rPr>
          <w:rFonts w:ascii="Arial" w:hAnsi="Arial" w:cs="Arial"/>
          <w:sz w:val="24"/>
          <w:szCs w:val="24"/>
        </w:rPr>
        <w:t>Voice</w:t>
      </w:r>
    </w:p>
    <w:p w:rsidR="00F43D33" w:rsidRPr="007B5277" w:rsidRDefault="00F43D33" w:rsidP="00F43D33">
      <w:pPr>
        <w:spacing w:after="0" w:line="240" w:lineRule="auto"/>
        <w:ind w:left="131" w:right="828"/>
        <w:rPr>
          <w:rFonts w:ascii="Arial" w:hAnsi="Arial" w:cs="Arial"/>
          <w:sz w:val="24"/>
          <w:szCs w:val="24"/>
        </w:rPr>
      </w:pPr>
      <w:r w:rsidRPr="007B5277">
        <w:rPr>
          <w:rFonts w:ascii="Arial" w:hAnsi="Arial" w:cs="Arial"/>
          <w:sz w:val="24"/>
          <w:szCs w:val="24"/>
        </w:rPr>
        <w:t>800-508-1698 Toll free</w:t>
      </w:r>
    </w:p>
    <w:p w:rsidR="00F43D33" w:rsidRPr="007B5277" w:rsidRDefault="00F43D33" w:rsidP="00F43D33">
      <w:pPr>
        <w:spacing w:after="0" w:line="240" w:lineRule="auto"/>
        <w:ind w:left="133" w:right="210"/>
        <w:jc w:val="both"/>
        <w:rPr>
          <w:rFonts w:ascii="Arial" w:hAnsi="Arial" w:cs="Arial"/>
          <w:sz w:val="24"/>
          <w:szCs w:val="24"/>
        </w:rPr>
      </w:pPr>
      <w:r w:rsidRPr="007B5277">
        <w:rPr>
          <w:rFonts w:ascii="Arial" w:hAnsi="Arial" w:cs="Arial"/>
          <w:sz w:val="24"/>
          <w:szCs w:val="24"/>
        </w:rPr>
        <w:t>541-758-3126</w:t>
      </w:r>
      <w:r w:rsidRPr="007B5277">
        <w:rPr>
          <w:rFonts w:ascii="Arial" w:hAnsi="Arial" w:cs="Arial"/>
          <w:spacing w:val="-7"/>
          <w:sz w:val="24"/>
          <w:szCs w:val="24"/>
        </w:rPr>
        <w:t xml:space="preserve"> </w:t>
      </w:r>
      <w:r w:rsidRPr="007B5277">
        <w:rPr>
          <w:rFonts w:ascii="Arial" w:hAnsi="Arial" w:cs="Arial"/>
          <w:sz w:val="24"/>
          <w:szCs w:val="24"/>
        </w:rPr>
        <w:t>TTY</w:t>
      </w:r>
    </w:p>
    <w:p w:rsidR="00F43D33" w:rsidRPr="007B5277" w:rsidRDefault="00F43D33" w:rsidP="00F43D33">
      <w:pPr>
        <w:spacing w:after="0" w:line="240" w:lineRule="auto"/>
        <w:ind w:left="132" w:right="828"/>
        <w:rPr>
          <w:rFonts w:ascii="Arial" w:hAnsi="Arial" w:cs="Arial"/>
          <w:sz w:val="24"/>
          <w:szCs w:val="24"/>
        </w:rPr>
      </w:pPr>
      <w:r w:rsidRPr="007B5277">
        <w:rPr>
          <w:rFonts w:ascii="Arial" w:hAnsi="Arial" w:cs="Arial"/>
          <w:sz w:val="24"/>
          <w:szCs w:val="24"/>
        </w:rPr>
        <w:t>541-758-3127</w:t>
      </w:r>
      <w:r w:rsidRPr="007B5277">
        <w:rPr>
          <w:rFonts w:ascii="Arial" w:hAnsi="Arial" w:cs="Arial"/>
          <w:spacing w:val="-9"/>
          <w:sz w:val="24"/>
          <w:szCs w:val="24"/>
        </w:rPr>
        <w:t xml:space="preserve"> </w:t>
      </w:r>
      <w:r w:rsidRPr="007B5277">
        <w:rPr>
          <w:rFonts w:ascii="Arial" w:hAnsi="Arial" w:cs="Arial"/>
          <w:sz w:val="24"/>
          <w:szCs w:val="24"/>
        </w:rPr>
        <w:t>Fax</w:t>
      </w:r>
    </w:p>
    <w:p w:rsidR="00F43D33" w:rsidRPr="007B5277" w:rsidRDefault="00F43D33" w:rsidP="00F43D33">
      <w:pPr>
        <w:spacing w:after="0" w:line="240" w:lineRule="auto"/>
        <w:rPr>
          <w:rFonts w:ascii="Arial" w:hAnsi="Arial" w:cs="Arial"/>
          <w:sz w:val="24"/>
          <w:szCs w:val="24"/>
        </w:rPr>
      </w:pPr>
    </w:p>
    <w:p w:rsidR="00F43D33" w:rsidRPr="007B5277" w:rsidRDefault="00F43D33" w:rsidP="00F43D33">
      <w:pPr>
        <w:spacing w:after="0" w:line="240" w:lineRule="auto"/>
        <w:ind w:firstLine="180"/>
        <w:rPr>
          <w:rFonts w:ascii="Arial" w:hAnsi="Arial" w:cs="Arial"/>
          <w:b/>
          <w:sz w:val="24"/>
          <w:szCs w:val="24"/>
        </w:rPr>
      </w:pPr>
      <w:r w:rsidRPr="007B5277">
        <w:rPr>
          <w:rFonts w:ascii="Arial" w:hAnsi="Arial" w:cs="Arial"/>
          <w:b/>
          <w:sz w:val="24"/>
          <w:szCs w:val="24"/>
        </w:rPr>
        <w:t>Lincoln County</w:t>
      </w:r>
    </w:p>
    <w:p w:rsidR="00F43D33" w:rsidRPr="007B5277" w:rsidRDefault="00F43D33" w:rsidP="00F43D33">
      <w:pPr>
        <w:spacing w:after="0" w:line="240" w:lineRule="auto"/>
        <w:ind w:left="3647" w:right="4341" w:hanging="3467"/>
        <w:rPr>
          <w:rFonts w:ascii="Arial" w:hAnsi="Arial" w:cs="Arial"/>
          <w:sz w:val="24"/>
          <w:szCs w:val="24"/>
        </w:rPr>
      </w:pPr>
      <w:r w:rsidRPr="007B5277">
        <w:rPr>
          <w:rFonts w:ascii="Arial" w:hAnsi="Arial" w:cs="Arial"/>
          <w:sz w:val="24"/>
          <w:szCs w:val="24"/>
        </w:rPr>
        <w:t>203 North Main Street Toledo, OR 97391</w:t>
      </w:r>
    </w:p>
    <w:p w:rsidR="00F43D33" w:rsidRPr="007B5277" w:rsidRDefault="00F43D33" w:rsidP="00F43D33">
      <w:pPr>
        <w:spacing w:after="0" w:line="240" w:lineRule="auto"/>
        <w:ind w:left="133" w:right="828"/>
        <w:rPr>
          <w:rFonts w:ascii="Arial" w:hAnsi="Arial" w:cs="Arial"/>
          <w:sz w:val="24"/>
          <w:szCs w:val="24"/>
        </w:rPr>
      </w:pPr>
      <w:r w:rsidRPr="007B5277">
        <w:rPr>
          <w:rFonts w:ascii="Arial" w:hAnsi="Arial" w:cs="Arial"/>
          <w:sz w:val="24"/>
          <w:szCs w:val="24"/>
        </w:rPr>
        <w:t>541-336-2289 Voice and ADRC</w:t>
      </w:r>
    </w:p>
    <w:p w:rsidR="00F43D33" w:rsidRPr="007B5277" w:rsidRDefault="00F43D33" w:rsidP="00F43D33">
      <w:pPr>
        <w:spacing w:after="0" w:line="240" w:lineRule="auto"/>
        <w:ind w:left="131" w:right="828"/>
        <w:rPr>
          <w:rFonts w:ascii="Arial" w:hAnsi="Arial" w:cs="Arial"/>
          <w:sz w:val="24"/>
          <w:szCs w:val="24"/>
        </w:rPr>
      </w:pPr>
      <w:r w:rsidRPr="007B5277">
        <w:rPr>
          <w:rFonts w:ascii="Arial" w:hAnsi="Arial" w:cs="Arial"/>
          <w:sz w:val="24"/>
          <w:szCs w:val="24"/>
        </w:rPr>
        <w:t>800-282-6194 Toll free</w:t>
      </w:r>
    </w:p>
    <w:p w:rsidR="00F43D33" w:rsidRPr="007B5277" w:rsidRDefault="00F43D33" w:rsidP="00F43D33">
      <w:pPr>
        <w:spacing w:after="0" w:line="240" w:lineRule="auto"/>
        <w:ind w:left="133" w:right="828"/>
        <w:rPr>
          <w:rFonts w:ascii="Arial" w:hAnsi="Arial" w:cs="Arial"/>
          <w:sz w:val="24"/>
          <w:szCs w:val="24"/>
        </w:rPr>
      </w:pPr>
      <w:r w:rsidRPr="007B5277">
        <w:rPr>
          <w:rFonts w:ascii="Arial" w:hAnsi="Arial" w:cs="Arial"/>
          <w:sz w:val="24"/>
          <w:szCs w:val="24"/>
        </w:rPr>
        <w:t>541-336-8103</w:t>
      </w:r>
      <w:r w:rsidRPr="007B5277">
        <w:rPr>
          <w:rFonts w:ascii="Arial" w:hAnsi="Arial" w:cs="Arial"/>
          <w:spacing w:val="-7"/>
          <w:sz w:val="24"/>
          <w:szCs w:val="24"/>
        </w:rPr>
        <w:t xml:space="preserve"> </w:t>
      </w:r>
      <w:r w:rsidRPr="007B5277">
        <w:rPr>
          <w:rFonts w:ascii="Arial" w:hAnsi="Arial" w:cs="Arial"/>
          <w:sz w:val="24"/>
          <w:szCs w:val="24"/>
        </w:rPr>
        <w:t>TTY</w:t>
      </w:r>
    </w:p>
    <w:p w:rsidR="00F43D33" w:rsidRPr="007B5277" w:rsidRDefault="00F43D33" w:rsidP="00F43D33">
      <w:pPr>
        <w:spacing w:after="0" w:line="240" w:lineRule="auto"/>
        <w:ind w:left="132" w:right="828"/>
        <w:rPr>
          <w:rFonts w:ascii="Arial" w:hAnsi="Arial" w:cs="Arial"/>
          <w:sz w:val="24"/>
          <w:szCs w:val="24"/>
        </w:rPr>
      </w:pPr>
      <w:r w:rsidRPr="007B5277">
        <w:rPr>
          <w:rFonts w:ascii="Arial" w:hAnsi="Arial" w:cs="Arial"/>
          <w:sz w:val="24"/>
          <w:szCs w:val="24"/>
        </w:rPr>
        <w:t>541-336-1447</w:t>
      </w:r>
      <w:r w:rsidRPr="007B5277">
        <w:rPr>
          <w:rFonts w:ascii="Arial" w:hAnsi="Arial" w:cs="Arial"/>
          <w:spacing w:val="-9"/>
          <w:sz w:val="24"/>
          <w:szCs w:val="24"/>
        </w:rPr>
        <w:t xml:space="preserve"> </w:t>
      </w:r>
      <w:r w:rsidRPr="007B5277">
        <w:rPr>
          <w:rFonts w:ascii="Arial" w:hAnsi="Arial" w:cs="Arial"/>
          <w:sz w:val="24"/>
          <w:szCs w:val="24"/>
        </w:rPr>
        <w:t>Fax</w:t>
      </w:r>
    </w:p>
    <w:p w:rsidR="00F43D33" w:rsidRPr="00BE18D5" w:rsidRDefault="00F43D33" w:rsidP="00F43D33">
      <w:pPr>
        <w:jc w:val="center"/>
        <w:rPr>
          <w:sz w:val="24"/>
          <w:szCs w:val="24"/>
        </w:rPr>
      </w:pPr>
    </w:p>
    <w:p w:rsidR="00FC1207" w:rsidRPr="007B5277" w:rsidRDefault="00F43D33" w:rsidP="00C2123D">
      <w:pPr>
        <w:tabs>
          <w:tab w:val="left" w:pos="140"/>
        </w:tabs>
        <w:spacing w:before="76"/>
        <w:ind w:left="140" w:right="30"/>
        <w:rPr>
          <w:rFonts w:ascii="Arial" w:hAnsi="Arial" w:cs="Arial"/>
          <w:sz w:val="24"/>
          <w:szCs w:val="24"/>
        </w:rPr>
      </w:pPr>
      <w:r w:rsidRPr="007B5277">
        <w:rPr>
          <w:rFonts w:ascii="Arial" w:hAnsi="Arial" w:cs="Arial"/>
          <w:sz w:val="24"/>
          <w:szCs w:val="24"/>
        </w:rPr>
        <w:t xml:space="preserve">Copies of the Area Plan, in its entirety, may be found on our website at </w:t>
      </w:r>
      <w:hyperlink r:id="rId4" w:history="1">
        <w:r w:rsidRPr="007B5277">
          <w:rPr>
            <w:rStyle w:val="Hyperlink"/>
            <w:rFonts w:ascii="Arial" w:hAnsi="Arial" w:cs="Arial"/>
            <w:sz w:val="24"/>
            <w:szCs w:val="24"/>
          </w:rPr>
          <w:t>www.ocwcog.org</w:t>
        </w:r>
      </w:hyperlink>
      <w:r w:rsidRPr="007B5277">
        <w:rPr>
          <w:rFonts w:ascii="Arial" w:hAnsi="Arial" w:cs="Arial"/>
          <w:sz w:val="24"/>
          <w:szCs w:val="24"/>
        </w:rPr>
        <w:t xml:space="preserve">.  Questions and comments on the Area Plan may be addressed to Randi Moore, Senior, Disability, and Community Services Director, 541-967-8630, or </w:t>
      </w:r>
      <w:hyperlink r:id="rId5" w:history="1">
        <w:r w:rsidRPr="007B5277">
          <w:rPr>
            <w:rStyle w:val="Hyperlink"/>
            <w:rFonts w:ascii="Arial" w:hAnsi="Arial" w:cs="Arial"/>
            <w:sz w:val="24"/>
            <w:szCs w:val="24"/>
          </w:rPr>
          <w:t>rmoore@ocwcog.org</w:t>
        </w:r>
      </w:hyperlink>
      <w:r w:rsidRPr="007B5277">
        <w:rPr>
          <w:rFonts w:ascii="Arial" w:hAnsi="Arial" w:cs="Arial"/>
          <w:sz w:val="24"/>
          <w:szCs w:val="24"/>
        </w:rPr>
        <w:t xml:space="preserve">. </w:t>
      </w:r>
    </w:p>
    <w:sectPr w:rsidR="00FC1207" w:rsidRPr="007B5277" w:rsidSect="00F43D33">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D33"/>
    <w:rsid w:val="006B31DA"/>
    <w:rsid w:val="007B5277"/>
    <w:rsid w:val="00975876"/>
    <w:rsid w:val="00C2123D"/>
    <w:rsid w:val="00C45EBD"/>
    <w:rsid w:val="00D55342"/>
    <w:rsid w:val="00F43D33"/>
    <w:rsid w:val="00FC12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FC86C2-8D99-4014-9A37-390B2C5A4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D3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3D33"/>
    <w:rPr>
      <w:color w:val="0563C1" w:themeColor="hyperlink"/>
      <w:u w:val="single"/>
    </w:rPr>
  </w:style>
  <w:style w:type="paragraph" w:styleId="BodyText">
    <w:name w:val="Body Text"/>
    <w:basedOn w:val="Normal"/>
    <w:link w:val="BodyTextChar"/>
    <w:uiPriority w:val="1"/>
    <w:semiHidden/>
    <w:unhideWhenUsed/>
    <w:qFormat/>
    <w:rsid w:val="00F43D33"/>
    <w:pPr>
      <w:widowControl w:val="0"/>
      <w:autoSpaceDE w:val="0"/>
      <w:autoSpaceDN w:val="0"/>
      <w:spacing w:after="0" w:line="240" w:lineRule="auto"/>
    </w:pPr>
    <w:rPr>
      <w:rFonts w:ascii="Arial" w:eastAsia="Arial" w:hAnsi="Arial" w:cs="Arial"/>
      <w:sz w:val="24"/>
      <w:szCs w:val="24"/>
      <w:lang w:bidi="en-US"/>
    </w:rPr>
  </w:style>
  <w:style w:type="character" w:customStyle="1" w:styleId="BodyTextChar">
    <w:name w:val="Body Text Char"/>
    <w:basedOn w:val="DefaultParagraphFont"/>
    <w:link w:val="BodyText"/>
    <w:uiPriority w:val="1"/>
    <w:semiHidden/>
    <w:rsid w:val="00F43D33"/>
    <w:rPr>
      <w:rFonts w:ascii="Arial" w:eastAsia="Arial" w:hAnsi="Arial" w:cs="Arial"/>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rmoore@ocwcog.org" TargetMode="External"/><Relationship Id="rId4" Type="http://schemas.openxmlformats.org/officeDocument/2006/relationships/hyperlink" Target="http://www.ocwcog.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566</Words>
  <Characters>3229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OCWCOG</Company>
  <LinksUpToDate>false</LinksUpToDate>
  <CharactersWithSpaces>3788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Randi Moore</dc:creator>
  <cp:keywords/>
  <dc:description/>
  <cp:lastModifiedBy>Kimberly Cooper</cp:lastModifiedBy>
  <cp:revision>4</cp:revision>
  <dcterms:created xsi:type="dcterms:W3CDTF">2021-01-11T19:06:00Z</dcterms:created>
  <dcterms:modified xsi:type="dcterms:W3CDTF">2021-01-26T23:24:00Z</dcterms:modified>
</cp:coreProperties>
</file>